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auto"/>
        <w:ind w:left="0" w:right="0" w:firstLine="0"/>
        <w:jc w:val="both"/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</w:pPr>
      <w:bookmarkStart w:id="0" w:name="_GoBack"/>
      <w:bookmarkEnd w:id="0"/>
      <w:r>
        <w:rPr>
          <w:rFonts w:ascii="黑体" w:hAnsi="黑体" w:eastAsia="黑体" w:cs="黑体"/>
          <w:color w:val="auto"/>
          <w:spacing w:val="0"/>
          <w:position w:val="0"/>
          <w:sz w:val="32"/>
          <w:shd w:val="clear" w:fill="auto"/>
        </w:rPr>
        <w:t>附件１</w:t>
      </w:r>
    </w:p>
    <w:p>
      <w:pPr>
        <w:spacing w:before="0" w:after="0" w:line="240" w:lineRule="auto"/>
        <w:ind w:left="0" w:right="0" w:firstLine="0"/>
        <w:jc w:val="both"/>
        <w:rPr>
          <w:rFonts w:ascii="黑体" w:hAnsi="黑体" w:eastAsia="黑体" w:cs="黑体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560" w:lineRule="auto"/>
        <w:ind w:left="0" w:right="0" w:firstLine="0"/>
        <w:jc w:val="center"/>
        <w:rPr>
          <w:rFonts w:ascii="仿宋_GB2312" w:hAnsi="仿宋_GB2312" w:eastAsia="仿宋_GB2312" w:cs="仿宋_GB2312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黄酒集团</w:t>
      </w:r>
      <w:r>
        <w:rPr>
          <w:rFonts w:ascii="仿宋_GB2312" w:hAnsi="仿宋_GB2312" w:eastAsia="仿宋_GB2312" w:cs="仿宋_GB2312"/>
          <w:b/>
          <w:color w:val="auto"/>
          <w:spacing w:val="0"/>
          <w:position w:val="0"/>
          <w:sz w:val="36"/>
          <w:shd w:val="clear" w:fill="auto"/>
        </w:rPr>
        <w:t>公司2017年度市管企业负责人薪酬情况（公开披露）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559"/>
        <w:gridCol w:w="1701"/>
        <w:gridCol w:w="1559"/>
        <w:gridCol w:w="2095"/>
        <w:gridCol w:w="2016"/>
        <w:gridCol w:w="1418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职务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任职起止时间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2017年度从本公司获得的税前报酬情况（单位：万元）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是否在股东单位或其他关联方领取薪酬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在关联方领取的税前薪酬总额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应付薪酬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(1)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社会保险、企业年金、补充医疗保险及住房公积金的单位缴存部分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(2)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其他货币性收入（注明具体项目并分列）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(3)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合计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(4)=(1)+(2)+(3)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傅建伟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董事长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1－12月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42.78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5.67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48.45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何晓刚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党委书记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1－6月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21.39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3.91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25.3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孙国平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总经理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1－11月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39.21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7.35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46.56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徐城法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副总经理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1－12月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33.30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5.64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38.94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柏宏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副总经理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1－12月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33.44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5.59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39.03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" w:hAnsi="仿宋" w:eastAsia="仿宋" w:cs="仿宋"/>
                <w:color w:val="auto"/>
                <w:spacing w:val="0"/>
                <w:position w:val="0"/>
                <w:sz w:val="24"/>
                <w:shd w:val="clear" w:fill="auto"/>
              </w:rPr>
              <w:t>0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24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4"/>
          <w:shd w:val="clear" w:fill="auto"/>
        </w:rPr>
        <w:t>上表披露薪酬为我公司企业负责人２０１７年度薪酬全部应发税前薪酬。第（1）项由市国资委核定。</w:t>
      </w:r>
    </w:p>
    <w:p>
      <w:pPr>
        <w:spacing w:before="0" w:after="0" w:line="24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24"/>
          <w:shd w:val="clear" w:fill="auto"/>
        </w:rPr>
      </w:pPr>
    </w:p>
    <w:sectPr>
      <w:pgSz w:w="16838" w:h="11906" w:orient="landscape"/>
      <w:pgMar w:top="1800" w:right="1440" w:bottom="1800" w:left="144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59615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2018-09-05T03:07:07Z</dcterms:created>
  <dc:creator>gzwxgd</dc:creator>
  <cp:lastModifiedBy>郑林飞</cp:lastModifiedBy>
  <dcterms:modified xsi:type="dcterms:W3CDTF">2018-09-05T03:07:21Z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