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hint="eastAsia" w:ascii="黑体" w:hAnsi="黑体" w:eastAsia="黑体"/>
          <w:sz w:val="24"/>
          <w:szCs w:val="24"/>
        </w:rPr>
      </w:pPr>
      <w:bookmarkStart w:id="0" w:name="_GoBack"/>
      <w:bookmarkEnd w:id="0"/>
      <w:r>
        <w:rPr>
          <w:rFonts w:hint="eastAsia" w:ascii="黑体" w:hAnsi="黑体" w:eastAsia="黑体"/>
          <w:sz w:val="24"/>
          <w:szCs w:val="24"/>
        </w:rPr>
        <w:t>附件3</w:t>
      </w:r>
    </w:p>
    <w:p>
      <w:pPr>
        <w:spacing w:line="400" w:lineRule="exact"/>
        <w:jc w:val="both"/>
        <w:rPr>
          <w:rFonts w:hint="eastAsia" w:ascii="仿宋_GB2312" w:hAnsi="仿宋_GB2312" w:eastAsia="仿宋_GB2312"/>
          <w:b/>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val="en-US" w:eastAsia="zh-CN"/>
        </w:rPr>
        <w:t>2018年度XX地区</w:t>
      </w:r>
      <w:r>
        <w:rPr>
          <w:rFonts w:hint="eastAsia" w:ascii="方正小标宋简体" w:hAnsi="方正小标宋简体" w:eastAsia="方正小标宋简体" w:cs="方正小标宋简体"/>
          <w:b w:val="0"/>
          <w:bCs/>
          <w:sz w:val="36"/>
          <w:szCs w:val="36"/>
        </w:rPr>
        <w:t>产权登记管理工作</w:t>
      </w: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自查报告（模板）</w:t>
      </w:r>
    </w:p>
    <w:p>
      <w:pPr>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2" w:firstLineChars="200"/>
        <w:jc w:val="both"/>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一、产权登记企业汇总分析</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根据产权登记信息系统数据，截止</w:t>
      </w:r>
      <w:r>
        <w:rPr>
          <w:rFonts w:hint="eastAsia" w:ascii="Times New Roman" w:hAnsi="Times New Roman" w:cs="Times New Roman"/>
          <w:sz w:val="24"/>
          <w:szCs w:val="24"/>
          <w:lang w:val="en-US" w:eastAsia="zh-CN"/>
        </w:rPr>
        <w:t>2018</w:t>
      </w:r>
      <w:r>
        <w:rPr>
          <w:rFonts w:hint="default" w:ascii="Times New Roman" w:hAnsi="Times New Roman" w:eastAsia="仿宋_GB2312" w:cs="Times New Roman"/>
          <w:sz w:val="24"/>
          <w:szCs w:val="24"/>
        </w:rPr>
        <w:t>年12月31日底，XX</w:t>
      </w:r>
      <w:r>
        <w:rPr>
          <w:rFonts w:hint="eastAsia" w:ascii="Times New Roman" w:hAnsi="Times New Roman" w:eastAsia="仿宋_GB2312" w:cs="Times New Roman"/>
          <w:sz w:val="24"/>
          <w:szCs w:val="24"/>
          <w:lang w:eastAsia="zh-CN"/>
        </w:rPr>
        <w:t>地区</w:t>
      </w:r>
      <w:r>
        <w:rPr>
          <w:rFonts w:hint="default" w:ascii="Times New Roman" w:hAnsi="Times New Roman" w:eastAsia="仿宋_GB2312" w:cs="Times New Roman"/>
          <w:sz w:val="24"/>
          <w:szCs w:val="24"/>
        </w:rPr>
        <w:t>企业共计</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户，实收资本总额</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亿元。其中，占有国有资本（国家出资+国有法人出资+国有绝对控制法人出资+国有实际控制法人出资，下同）总额为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亿元，占实收资本总额的</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%；引入民间、外商等社会各类资本</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亿元，占实收资本总额的</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2" w:firstLineChars="200"/>
        <w:jc w:val="both"/>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（一）组织形式情况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登记企业中，公司制企业为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户，占登记企业总户数的</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%；非公司制企业为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户，占登记企业总户数的</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b/>
          <w:sz w:val="24"/>
          <w:szCs w:val="24"/>
        </w:rPr>
        <w:t>公司制企业中</w:t>
      </w:r>
      <w:r>
        <w:rPr>
          <w:rFonts w:hint="default" w:ascii="Times New Roman" w:hAnsi="Times New Roman" w:eastAsia="仿宋_GB2312" w:cs="Times New Roman"/>
          <w:sz w:val="24"/>
          <w:szCs w:val="24"/>
        </w:rPr>
        <w:t>，混合所有制企业为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户，占公司制企业总户数的</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%；股份有限公司企业为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户，分别占登记企业总数和公司制企业总户数的</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%和</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%；上市公司为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户，实收资本合计</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亿元，其中占有国有资本合计为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亿元，占登记企业国有资本总额的</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b/>
          <w:sz w:val="24"/>
          <w:szCs w:val="24"/>
        </w:rPr>
        <w:t>非公司制企业中</w:t>
      </w:r>
      <w:r>
        <w:rPr>
          <w:rFonts w:hint="default" w:ascii="Times New Roman" w:hAnsi="Times New Roman" w:eastAsia="仿宋_GB2312" w:cs="Times New Roman"/>
          <w:sz w:val="24"/>
          <w:szCs w:val="24"/>
        </w:rPr>
        <w:t>，全民所有制企业为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户，集体企业为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户，有限合伙企业为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户，事业单位为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2" w:firstLineChars="200"/>
        <w:jc w:val="both"/>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（二）级次分布和产权配置情况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登记企业中，一级企业（集团本级为一级，以下依次类推）为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户，二级企业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户，三级企业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户，四级及四级以下企业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户，分别占登记企业总户数的</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%。上述各层级企业的实收资本合计数分别为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亿元，所占比例分别为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%。最长层级为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级有</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w:t>
      </w:r>
    </w:p>
    <w:p>
      <w:pPr>
        <w:spacing w:line="3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登记企业中，</w:t>
      </w:r>
      <w:r>
        <w:rPr>
          <w:rFonts w:hint="eastAsia" w:ascii="Times New Roman" w:hAnsi="Times New Roman" w:eastAsia="仿宋_GB2312" w:cs="Times New Roman"/>
          <w:color w:val="auto"/>
          <w:sz w:val="24"/>
          <w:szCs w:val="24"/>
          <w:lang w:eastAsia="zh-CN"/>
        </w:rPr>
        <w:t>地区</w:t>
      </w:r>
      <w:r>
        <w:rPr>
          <w:rFonts w:hint="default" w:ascii="Times New Roman" w:hAnsi="Times New Roman" w:eastAsia="仿宋_GB2312" w:cs="Times New Roman"/>
          <w:color w:val="auto"/>
          <w:sz w:val="24"/>
          <w:szCs w:val="24"/>
        </w:rPr>
        <w:t>全资企业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户，实收资本合计</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亿元（其中，二级企业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户，三级企业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户，实收资本分别合计</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亿元和</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亿元）；</w:t>
      </w:r>
      <w:r>
        <w:rPr>
          <w:rFonts w:hint="eastAsia" w:ascii="Times New Roman" w:hAnsi="Times New Roman" w:eastAsia="仿宋_GB2312" w:cs="Times New Roman"/>
          <w:color w:val="auto"/>
          <w:sz w:val="24"/>
          <w:szCs w:val="24"/>
          <w:lang w:eastAsia="zh-CN"/>
        </w:rPr>
        <w:t>地区</w:t>
      </w:r>
      <w:r>
        <w:rPr>
          <w:rFonts w:hint="default" w:ascii="Times New Roman" w:hAnsi="Times New Roman" w:eastAsia="仿宋_GB2312" w:cs="Times New Roman"/>
          <w:color w:val="auto"/>
          <w:sz w:val="24"/>
          <w:szCs w:val="24"/>
        </w:rPr>
        <w:t>绝对控股企业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户，实收资本合计</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亿元（其中，二级企业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户，三级企业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户，实收资本分别合计</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亿元和</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亿元），</w:t>
      </w:r>
      <w:r>
        <w:rPr>
          <w:rFonts w:hint="eastAsia" w:ascii="Times New Roman" w:hAnsi="Times New Roman" w:eastAsia="仿宋_GB2312" w:cs="Times New Roman"/>
          <w:color w:val="auto"/>
          <w:sz w:val="24"/>
          <w:szCs w:val="24"/>
          <w:lang w:eastAsia="zh-CN"/>
        </w:rPr>
        <w:t>地区</w:t>
      </w:r>
      <w:r>
        <w:rPr>
          <w:rFonts w:hint="default" w:ascii="Times New Roman" w:hAnsi="Times New Roman" w:eastAsia="仿宋_GB2312" w:cs="Times New Roman"/>
          <w:color w:val="auto"/>
          <w:sz w:val="24"/>
          <w:szCs w:val="24"/>
        </w:rPr>
        <w:t>实际控制企业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户，实收资本合计</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亿元（其中，二级企业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户，三级企业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户，实收资本分别合计</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亿元和</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亿元），</w:t>
      </w:r>
      <w:r>
        <w:rPr>
          <w:rFonts w:hint="eastAsia" w:ascii="Times New Roman" w:hAnsi="Times New Roman" w:eastAsia="仿宋_GB2312" w:cs="Times New Roman"/>
          <w:color w:val="auto"/>
          <w:sz w:val="24"/>
          <w:szCs w:val="24"/>
          <w:lang w:eastAsia="zh-CN"/>
        </w:rPr>
        <w:t>地区</w:t>
      </w:r>
      <w:r>
        <w:rPr>
          <w:rFonts w:hint="default" w:ascii="Times New Roman" w:hAnsi="Times New Roman" w:eastAsia="仿宋_GB2312" w:cs="Times New Roman"/>
          <w:color w:val="auto"/>
          <w:sz w:val="24"/>
          <w:szCs w:val="24"/>
        </w:rPr>
        <w:t>参股企业</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户，户数所占比例分别为</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p>
    <w:p>
      <w:pPr>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（三）行业和主辅业分布情况</w:t>
      </w:r>
    </w:p>
    <w:p>
      <w:pPr>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产权登记数据显示,在国民经济行业全部20个门类、96个大类中，</w:t>
      </w:r>
      <w:r>
        <w:rPr>
          <w:rFonts w:hint="eastAsia" w:ascii="Times New Roman" w:hAnsi="Times New Roman" w:eastAsia="仿宋_GB2312" w:cs="Times New Roman"/>
          <w:sz w:val="24"/>
          <w:szCs w:val="24"/>
          <w:lang w:eastAsia="zh-CN"/>
        </w:rPr>
        <w:t>所出资企业</w:t>
      </w:r>
      <w:r>
        <w:rPr>
          <w:rFonts w:hint="default" w:ascii="Times New Roman" w:hAnsi="Times New Roman" w:eastAsia="仿宋_GB2312" w:cs="Times New Roman"/>
          <w:sz w:val="24"/>
          <w:szCs w:val="24"/>
        </w:rPr>
        <w:t>经营的行业共涉及</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个门类、</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个行业大类。在行业大类中，按照占有国有资本数额排名，主要集中在</w:t>
      </w:r>
      <w:r>
        <w:rPr>
          <w:rFonts w:hint="default" w:ascii="Times New Roman" w:hAnsi="Times New Roman" w:eastAsia="仿宋_GB2312" w:cs="Times New Roman"/>
          <w:sz w:val="24"/>
          <w:szCs w:val="24"/>
          <w:u w:val="single"/>
        </w:rPr>
        <w:t xml:space="preserve">    （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  %）</w:t>
      </w:r>
      <w:r>
        <w:rPr>
          <w:rFonts w:hint="default" w:ascii="Times New Roman" w:hAnsi="Times New Roman" w:eastAsia="仿宋_GB2312" w:cs="Times New Roman"/>
          <w:sz w:val="24"/>
          <w:szCs w:val="24"/>
        </w:rPr>
        <w:t>（列述前五名行业，并列示所占比例）。登记企业中，从事主业的企业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户，实收资本合计</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亿元；从事非主业的企业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户，实收资本合计</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亿元；主业企业和非主业企业的户数所占比例分别为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%，主业企业和非主业企业的实收资本所占比例分别为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w:t>
      </w:r>
    </w:p>
    <w:p>
      <w:pPr>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（四）区域分布情况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登记企业中，境内企业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户，境外企业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户，实际控制的资本分别为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亿元和</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境内企业中，省内企业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户，省外企业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户实际控制的资本分别为</w:t>
      </w:r>
    </w:p>
    <w:p>
      <w:pPr>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亿元和</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亿元。省外企业中，在东部的企业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户，在中部的企业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户，在西部的企业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境外企业中，在</w:t>
      </w:r>
      <w:r>
        <w:rPr>
          <w:rFonts w:hint="default" w:ascii="Times New Roman" w:hAnsi="Times New Roman" w:eastAsia="仿宋_GB2312" w:cs="Times New Roman"/>
          <w:sz w:val="24"/>
          <w:szCs w:val="24"/>
          <w:u w:val="single"/>
        </w:rPr>
        <w:t>（国家或地区）</w:t>
      </w:r>
      <w:r>
        <w:rPr>
          <w:rFonts w:hint="default" w:ascii="Times New Roman" w:hAnsi="Times New Roman" w:eastAsia="仿宋_GB2312" w:cs="Times New Roman"/>
          <w:sz w:val="24"/>
          <w:szCs w:val="24"/>
        </w:rPr>
        <w:t>的企业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户…（不同国家和地区分别填写）。其中，特殊目的公司</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户，存在个人代持股的企业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w:t>
      </w:r>
    </w:p>
    <w:p>
      <w:pPr>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（五）非正常经营企业情况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登记企业中，非正常经营企业</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户，实收资本合计</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亿元。（分析企业处于非正常经营状态的原因，及下一步清理计划、清理存在困难原因等）</w:t>
      </w:r>
    </w:p>
    <w:p>
      <w:pPr>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（六）产权动态变化情况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2018</w:t>
      </w:r>
      <w:r>
        <w:rPr>
          <w:rFonts w:hint="eastAsia" w:ascii="Times New Roman" w:hAnsi="Times New Roman" w:eastAsia="仿宋_GB2312" w:cs="Times New Roman"/>
          <w:sz w:val="24"/>
          <w:szCs w:val="24"/>
          <w:lang w:val="en-US" w:eastAsia="zh-CN"/>
        </w:rPr>
        <w:t>年</w:t>
      </w:r>
      <w:r>
        <w:rPr>
          <w:rFonts w:hint="default" w:ascii="Times New Roman" w:hAnsi="Times New Roman" w:eastAsia="仿宋_GB2312" w:cs="Times New Roman"/>
          <w:sz w:val="24"/>
          <w:szCs w:val="24"/>
        </w:rPr>
        <w:t>办理日常占有登记</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项</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户、变动登记</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项</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户、注销登记</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项</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户。</w:t>
      </w:r>
    </w:p>
    <w:p>
      <w:pPr>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（七）通过以上产权登记数据深入分析，理清</w:t>
      </w:r>
      <w:r>
        <w:rPr>
          <w:rFonts w:hint="eastAsia" w:ascii="Times New Roman" w:hAnsi="Times New Roman" w:eastAsia="仿宋_GB2312" w:cs="Times New Roman"/>
          <w:b/>
          <w:sz w:val="24"/>
          <w:szCs w:val="24"/>
          <w:lang w:eastAsia="zh-CN"/>
        </w:rPr>
        <w:t>所出资企业</w:t>
      </w:r>
      <w:r>
        <w:rPr>
          <w:rFonts w:hint="default" w:ascii="Times New Roman" w:hAnsi="Times New Roman" w:eastAsia="仿宋_GB2312" w:cs="Times New Roman"/>
          <w:b/>
          <w:sz w:val="24"/>
          <w:szCs w:val="24"/>
        </w:rPr>
        <w:t>国有产权布局结构和特点，找出存在的问题，对症下药，对下一步布局结构调整提出建议和意见。</w:t>
      </w:r>
    </w:p>
    <w:p>
      <w:pPr>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二、产权登记管理工作自查情况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2" w:firstLineChars="200"/>
        <w:jc w:val="both"/>
        <w:textAlignment w:val="auto"/>
        <w:outlineLvl w:val="9"/>
        <w:rPr>
          <w:rFonts w:hint="default" w:ascii="Times New Roman" w:hAnsi="Times New Roman" w:eastAsia="仿宋_GB2312" w:cs="Times New Roman"/>
          <w:b/>
          <w:bCs/>
          <w:sz w:val="24"/>
          <w:szCs w:val="24"/>
        </w:rPr>
      </w:pPr>
      <w:r>
        <w:rPr>
          <w:rFonts w:hint="eastAsia" w:ascii="Times New Roman" w:hAnsi="Times New Roman" w:eastAsia="仿宋_GB2312" w:cs="Times New Roman"/>
          <w:b/>
          <w:bCs/>
          <w:sz w:val="24"/>
          <w:szCs w:val="24"/>
          <w:lang w:eastAsia="zh-CN"/>
        </w:rPr>
        <w:t>（一）</w:t>
      </w:r>
      <w:r>
        <w:rPr>
          <w:rFonts w:hint="default" w:ascii="Times New Roman" w:hAnsi="Times New Roman" w:eastAsia="仿宋_GB2312" w:cs="Times New Roman"/>
          <w:b/>
          <w:bCs/>
          <w:sz w:val="24"/>
          <w:szCs w:val="24"/>
        </w:rPr>
        <w:t>产权登记管理工作职能部门、人员配备情况。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2" w:firstLineChars="200"/>
        <w:jc w:val="both"/>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b/>
          <w:bCs/>
          <w:sz w:val="24"/>
          <w:szCs w:val="24"/>
          <w:lang w:eastAsia="zh-CN"/>
        </w:rPr>
        <w:t>（二）</w:t>
      </w:r>
      <w:r>
        <w:rPr>
          <w:rFonts w:hint="default" w:ascii="Times New Roman" w:hAnsi="Times New Roman" w:eastAsia="仿宋_GB2312" w:cs="Times New Roman"/>
          <w:b/>
          <w:bCs/>
          <w:sz w:val="24"/>
          <w:szCs w:val="24"/>
        </w:rPr>
        <w:t>产权登记数据及时性情况。</w:t>
      </w:r>
      <w:r>
        <w:rPr>
          <w:rFonts w:hint="default" w:ascii="Times New Roman" w:hAnsi="Times New Roman" w:eastAsia="仿宋_GB2312" w:cs="Times New Roman"/>
          <w:sz w:val="24"/>
          <w:szCs w:val="24"/>
        </w:rPr>
        <w:t>一是依据产权登记系统中产权登记时间和工商登记时间等指标数据，关注企业发生产权登记相关经济行为后是否及时办理了产权登记，是否做到“应登即登”；二是企业在办理工商登记后是否及时将企业法人营业执照或者工商变更登记表上传系统报送；三是各级企业对所属企业在产权登记系统中报送的数据是否及时进行了审核和反馈。</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2" w:firstLineChars="200"/>
        <w:jc w:val="both"/>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b/>
          <w:bCs/>
          <w:sz w:val="24"/>
          <w:szCs w:val="24"/>
          <w:lang w:eastAsia="zh-CN"/>
        </w:rPr>
        <w:t>（三）</w:t>
      </w:r>
      <w:r>
        <w:rPr>
          <w:rFonts w:hint="default" w:ascii="Times New Roman" w:hAnsi="Times New Roman" w:eastAsia="仿宋_GB2312" w:cs="Times New Roman"/>
          <w:b/>
          <w:bCs/>
          <w:sz w:val="24"/>
          <w:szCs w:val="24"/>
        </w:rPr>
        <w:t>产权登记数据完整性情况。</w:t>
      </w:r>
      <w:r>
        <w:rPr>
          <w:rFonts w:hint="default" w:ascii="Times New Roman" w:hAnsi="Times New Roman" w:eastAsia="仿宋_GB2312" w:cs="Times New Roman"/>
          <w:sz w:val="24"/>
          <w:szCs w:val="24"/>
        </w:rPr>
        <w:t>依据纳入合并报表范围企业名单和长期股权投资明细表，核查企业是否按照规定的产权登记范围对拥有实际控制权的境内外各级企业及其投资参股企业进行了登记，是否存在“应登未登”情形。</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2" w:firstLineChars="200"/>
        <w:jc w:val="both"/>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b/>
          <w:bCs/>
          <w:sz w:val="24"/>
          <w:szCs w:val="24"/>
          <w:lang w:eastAsia="zh-CN"/>
        </w:rPr>
        <w:t>（四）</w:t>
      </w:r>
      <w:r>
        <w:rPr>
          <w:rFonts w:hint="default" w:ascii="Times New Roman" w:hAnsi="Times New Roman" w:eastAsia="仿宋_GB2312" w:cs="Times New Roman"/>
          <w:b/>
          <w:bCs/>
          <w:sz w:val="24"/>
          <w:szCs w:val="24"/>
        </w:rPr>
        <w:t>产权登记数据真实性和准确性情况。</w:t>
      </w:r>
      <w:r>
        <w:rPr>
          <w:rFonts w:hint="default" w:ascii="Times New Roman" w:hAnsi="Times New Roman" w:eastAsia="仿宋_GB2312" w:cs="Times New Roman"/>
          <w:sz w:val="24"/>
          <w:szCs w:val="24"/>
        </w:rPr>
        <w:t>依据合规性资料目录所列资料的各项文件材料，检查企业是否在产权登记系统中按照实际情况填报有关数据，所填数据是否存在不合理或逻辑错误等情形。产权登记系统登记情况与企业实际投资情况是否一致。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2" w:firstLineChars="200"/>
        <w:jc w:val="both"/>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b/>
          <w:bCs/>
          <w:sz w:val="24"/>
          <w:szCs w:val="24"/>
          <w:lang w:eastAsia="zh-CN"/>
        </w:rPr>
        <w:t>（五）</w:t>
      </w:r>
      <w:r>
        <w:rPr>
          <w:rFonts w:hint="default" w:ascii="Times New Roman" w:hAnsi="Times New Roman" w:eastAsia="仿宋_GB2312" w:cs="Times New Roman"/>
          <w:b/>
          <w:bCs/>
          <w:sz w:val="24"/>
          <w:szCs w:val="24"/>
        </w:rPr>
        <w:t>企业办理产权登记所涉及经济行为合规性情况。</w:t>
      </w:r>
      <w:r>
        <w:rPr>
          <w:rFonts w:hint="default" w:ascii="Times New Roman" w:hAnsi="Times New Roman" w:eastAsia="仿宋_GB2312" w:cs="Times New Roman"/>
          <w:sz w:val="24"/>
          <w:szCs w:val="24"/>
        </w:rPr>
        <w:t>在实际操作过程中是否存在违反有关法律或者国资监管制度规范等情形，如应评估未评估，应备案未备案，应进场交易未进场交易等。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2" w:firstLineChars="200"/>
        <w:jc w:val="both"/>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b/>
          <w:bCs/>
          <w:sz w:val="24"/>
          <w:szCs w:val="24"/>
          <w:lang w:eastAsia="zh-CN"/>
        </w:rPr>
        <w:t>（六）</w:t>
      </w:r>
      <w:r>
        <w:rPr>
          <w:rFonts w:hint="default" w:ascii="Times New Roman" w:hAnsi="Times New Roman" w:eastAsia="仿宋_GB2312" w:cs="Times New Roman"/>
          <w:b/>
          <w:bCs/>
          <w:sz w:val="24"/>
          <w:szCs w:val="24"/>
        </w:rPr>
        <w:t>关于产权登记工作需要说明的其他情况。</w:t>
      </w:r>
      <w:r>
        <w:rPr>
          <w:rFonts w:hint="default" w:ascii="Times New Roman" w:hAnsi="Times New Roman" w:eastAsia="仿宋_GB2312" w:cs="Times New Roman"/>
          <w:sz w:val="24"/>
          <w:szCs w:val="24"/>
        </w:rPr>
        <w:t>工作中遇到的问题、意见建议等。</w:t>
      </w:r>
    </w:p>
    <w:p>
      <w:pPr>
        <w:spacing w:line="360" w:lineRule="exact"/>
        <w:rPr>
          <w:rFonts w:hint="default" w:ascii="Times New Roman" w:hAnsi="Times New Roman" w:eastAsia="仿宋_GB2312" w:cs="Times New Roman"/>
          <w:sz w:val="24"/>
          <w:szCs w:val="24"/>
        </w:rPr>
      </w:pPr>
    </w:p>
    <w:p>
      <w:pPr>
        <w:spacing w:line="360" w:lineRule="exact"/>
        <w:rPr>
          <w:rFonts w:hint="default" w:ascii="Times New Roman" w:hAnsi="Times New Roman" w:eastAsia="仿宋_GB2312" w:cs="Times New Roman"/>
          <w:sz w:val="24"/>
          <w:szCs w:val="24"/>
        </w:rPr>
      </w:pPr>
    </w:p>
    <w:p>
      <w:pPr>
        <w:spacing w:line="360" w:lineRule="exact"/>
        <w:ind w:firstLine="1800" w:firstLineChars="7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（单位盖章）</w:t>
      </w:r>
    </w:p>
    <w:p>
      <w:pPr>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年  月  日</w:t>
      </w:r>
    </w:p>
    <w:p>
      <w:pPr>
        <w:spacing w:line="500" w:lineRule="exact"/>
        <w:jc w:val="center"/>
        <w:rPr>
          <w:rFonts w:hint="eastAsia" w:eastAsia="方正小标宋简体"/>
          <w:sz w:val="36"/>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876158"/>
    <w:rsid w:val="0FB115E1"/>
    <w:rsid w:val="1590222A"/>
    <w:rsid w:val="368C443D"/>
    <w:rsid w:val="43973B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12" w:lineRule="atLeast"/>
      <w:jc w:val="both"/>
      <w:textAlignment w:val="baseline"/>
    </w:pPr>
    <w:rPr>
      <w:rFonts w:eastAsia="仿宋_GB2312"/>
      <w:sz w:val="32"/>
      <w:szCs w:val="32"/>
      <w:lang w:val="en-US" w:eastAsia="zh-CN" w:bidi="ar-SA"/>
    </w:rPr>
  </w:style>
  <w:style w:type="character" w:default="1" w:styleId="2">
    <w:name w:val="Default Paragraph Font"/>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2017-03-21T01:03:00Z</dcterms:created>
  <dc:creator>强之闻</dc:creator>
  <cp:lastModifiedBy>朱晓翔</cp:lastModifiedBy>
  <dcterms:modified xsi:type="dcterms:W3CDTF">2019-08-05T03:13:10Z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